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8F0" w:rsidRPr="000B68F0" w:rsidRDefault="000B68F0" w:rsidP="000B68F0">
      <w:pPr>
        <w:pStyle w:val="a3"/>
        <w:shd w:val="clear" w:color="auto" w:fill="FFFFFF"/>
        <w:spacing w:before="0" w:beforeAutospacing="0" w:after="0" w:afterAutospacing="0"/>
        <w:jc w:val="both"/>
        <w:rPr>
          <w:sz w:val="28"/>
          <w:szCs w:val="28"/>
        </w:rPr>
      </w:pPr>
      <w:r w:rsidRPr="000B68F0">
        <w:rPr>
          <w:b/>
          <w:bCs/>
          <w:sz w:val="28"/>
          <w:szCs w:val="28"/>
        </w:rPr>
        <w:t>Геодезиялық тор</w:t>
      </w:r>
      <w:r w:rsidRPr="000B68F0">
        <w:rPr>
          <w:sz w:val="28"/>
          <w:szCs w:val="28"/>
        </w:rPr>
        <w:t> — </w:t>
      </w:r>
      <w:proofErr w:type="spellStart"/>
      <w:r w:rsidRPr="000B68F0">
        <w:rPr>
          <w:sz w:val="28"/>
          <w:szCs w:val="28"/>
        </w:rPr>
        <w:fldChar w:fldCharType="begin"/>
      </w:r>
      <w:r w:rsidRPr="000B68F0">
        <w:rPr>
          <w:sz w:val="28"/>
          <w:szCs w:val="28"/>
        </w:rPr>
        <w:instrText xml:space="preserve"> HYPERLINK "https://kk.wikipedia.org/wiki/%D0%96%D0%B5%D1%80_%D0%B1%D0%B5%D1%82%D1%96" \o "Жер беті" </w:instrText>
      </w:r>
      <w:r w:rsidRPr="000B68F0">
        <w:rPr>
          <w:sz w:val="28"/>
          <w:szCs w:val="28"/>
        </w:rPr>
        <w:fldChar w:fldCharType="separate"/>
      </w:r>
      <w:r w:rsidRPr="000B68F0">
        <w:rPr>
          <w:rStyle w:val="a4"/>
          <w:color w:val="auto"/>
          <w:sz w:val="28"/>
          <w:szCs w:val="28"/>
          <w:u w:val="none"/>
        </w:rPr>
        <w:t>Жер</w:t>
      </w:r>
      <w:proofErr w:type="spellEnd"/>
      <w:r w:rsidRPr="000B68F0">
        <w:rPr>
          <w:rStyle w:val="a4"/>
          <w:color w:val="auto"/>
          <w:sz w:val="28"/>
          <w:szCs w:val="28"/>
          <w:u w:val="none"/>
        </w:rPr>
        <w:t xml:space="preserve"> </w:t>
      </w:r>
      <w:proofErr w:type="spellStart"/>
      <w:r w:rsidRPr="000B68F0">
        <w:rPr>
          <w:rStyle w:val="a4"/>
          <w:color w:val="auto"/>
          <w:sz w:val="28"/>
          <w:szCs w:val="28"/>
          <w:u w:val="none"/>
        </w:rPr>
        <w:t>бетіндегі</w:t>
      </w:r>
      <w:proofErr w:type="spellEnd"/>
      <w:r w:rsidRPr="000B68F0">
        <w:rPr>
          <w:sz w:val="28"/>
          <w:szCs w:val="28"/>
        </w:rPr>
        <w:fldChar w:fldCharType="end"/>
      </w:r>
      <w:r w:rsidRPr="000B68F0">
        <w:rPr>
          <w:sz w:val="28"/>
          <w:szCs w:val="28"/>
        </w:rPr>
        <w:t> </w:t>
      </w:r>
      <w:proofErr w:type="spellStart"/>
      <w:r w:rsidRPr="000B68F0">
        <w:rPr>
          <w:sz w:val="28"/>
          <w:szCs w:val="28"/>
        </w:rPr>
        <w:t>координаттары</w:t>
      </w:r>
      <w:proofErr w:type="spellEnd"/>
      <w:r w:rsidRPr="000B68F0">
        <w:rPr>
          <w:sz w:val="28"/>
          <w:szCs w:val="28"/>
        </w:rPr>
        <w:t xml:space="preserve"> </w:t>
      </w:r>
      <w:proofErr w:type="spellStart"/>
      <w:r w:rsidRPr="000B68F0">
        <w:rPr>
          <w:sz w:val="28"/>
          <w:szCs w:val="28"/>
        </w:rPr>
        <w:t>белгілі</w:t>
      </w:r>
      <w:proofErr w:type="spellEnd"/>
      <w:r w:rsidRPr="000B68F0">
        <w:rPr>
          <w:sz w:val="28"/>
          <w:szCs w:val="28"/>
        </w:rPr>
        <w:t> </w:t>
      </w:r>
      <w:proofErr w:type="spellStart"/>
      <w:r w:rsidRPr="000B68F0">
        <w:rPr>
          <w:sz w:val="28"/>
          <w:szCs w:val="28"/>
        </w:rPr>
        <w:fldChar w:fldCharType="begin"/>
      </w:r>
      <w:r w:rsidRPr="000B68F0">
        <w:rPr>
          <w:sz w:val="28"/>
          <w:szCs w:val="28"/>
        </w:rPr>
        <w:instrText xml:space="preserve"> HYPERLINK "https://kk.wikipedia.org/wiki/%D0%A6%D0%B5%D0%BD%D1%82%D1%80" \o "Центр" </w:instrText>
      </w:r>
      <w:r w:rsidRPr="000B68F0">
        <w:rPr>
          <w:sz w:val="28"/>
          <w:szCs w:val="28"/>
        </w:rPr>
        <w:fldChar w:fldCharType="separate"/>
      </w:r>
      <w:r w:rsidRPr="000B68F0">
        <w:rPr>
          <w:rStyle w:val="a4"/>
          <w:color w:val="auto"/>
          <w:sz w:val="28"/>
          <w:szCs w:val="28"/>
          <w:u w:val="none"/>
        </w:rPr>
        <w:t>центрі</w:t>
      </w:r>
      <w:proofErr w:type="spellEnd"/>
      <w:r w:rsidRPr="000B68F0">
        <w:rPr>
          <w:sz w:val="28"/>
          <w:szCs w:val="28"/>
        </w:rPr>
        <w:fldChar w:fldCharType="end"/>
      </w:r>
      <w:r w:rsidRPr="000B68F0">
        <w:rPr>
          <w:sz w:val="28"/>
          <w:szCs w:val="28"/>
        </w:rPr>
        <w:t> </w:t>
      </w:r>
      <w:proofErr w:type="spellStart"/>
      <w:r w:rsidRPr="000B68F0">
        <w:rPr>
          <w:sz w:val="28"/>
          <w:szCs w:val="28"/>
        </w:rPr>
        <w:t>арнайы</w:t>
      </w:r>
      <w:proofErr w:type="spellEnd"/>
      <w:r w:rsidRPr="000B68F0">
        <w:rPr>
          <w:sz w:val="28"/>
          <w:szCs w:val="28"/>
        </w:rPr>
        <w:t xml:space="preserve"> </w:t>
      </w:r>
      <w:proofErr w:type="spellStart"/>
      <w:r w:rsidRPr="000B68F0">
        <w:rPr>
          <w:sz w:val="28"/>
          <w:szCs w:val="28"/>
        </w:rPr>
        <w:t>белгілермен</w:t>
      </w:r>
      <w:proofErr w:type="spellEnd"/>
      <w:r w:rsidRPr="000B68F0">
        <w:rPr>
          <w:sz w:val="28"/>
          <w:szCs w:val="28"/>
        </w:rPr>
        <w:t xml:space="preserve"> </w:t>
      </w:r>
      <w:proofErr w:type="spellStart"/>
      <w:r w:rsidRPr="000B68F0">
        <w:rPr>
          <w:sz w:val="28"/>
          <w:szCs w:val="28"/>
        </w:rPr>
        <w:t>бекітілген</w:t>
      </w:r>
      <w:proofErr w:type="spellEnd"/>
      <w:r w:rsidRPr="000B68F0">
        <w:rPr>
          <w:sz w:val="28"/>
          <w:szCs w:val="28"/>
        </w:rPr>
        <w:t xml:space="preserve"> геодезиялық пункттердің (нүктелердің) жиынтығы.</w:t>
      </w:r>
    </w:p>
    <w:p w:rsidR="000B68F0" w:rsidRPr="000B68F0" w:rsidRDefault="000B68F0" w:rsidP="000B68F0">
      <w:pPr>
        <w:pStyle w:val="a3"/>
        <w:shd w:val="clear" w:color="auto" w:fill="FFFFFF"/>
        <w:spacing w:before="0" w:beforeAutospacing="0" w:after="0" w:afterAutospacing="0"/>
        <w:jc w:val="both"/>
        <w:rPr>
          <w:sz w:val="28"/>
          <w:szCs w:val="28"/>
        </w:rPr>
      </w:pPr>
      <w:r w:rsidRPr="000B68F0">
        <w:rPr>
          <w:sz w:val="28"/>
          <w:szCs w:val="28"/>
        </w:rPr>
        <w:t xml:space="preserve">Геодезиялық тор пункттерінің </w:t>
      </w:r>
      <w:proofErr w:type="spellStart"/>
      <w:r w:rsidRPr="000B68F0">
        <w:rPr>
          <w:sz w:val="28"/>
          <w:szCs w:val="28"/>
        </w:rPr>
        <w:t>координаттары</w:t>
      </w:r>
      <w:proofErr w:type="spellEnd"/>
      <w:r w:rsidRPr="000B68F0">
        <w:rPr>
          <w:sz w:val="28"/>
          <w:szCs w:val="28"/>
        </w:rPr>
        <w:t xml:space="preserve"> астрономиялық </w:t>
      </w:r>
      <w:proofErr w:type="spellStart"/>
      <w:r w:rsidRPr="000B68F0">
        <w:rPr>
          <w:sz w:val="28"/>
          <w:szCs w:val="28"/>
        </w:rPr>
        <w:t>немесе</w:t>
      </w:r>
      <w:proofErr w:type="spellEnd"/>
      <w:r w:rsidRPr="000B68F0">
        <w:rPr>
          <w:sz w:val="28"/>
          <w:szCs w:val="28"/>
        </w:rPr>
        <w:t xml:space="preserve"> геодезиялық әдіспен анықталады. </w:t>
      </w:r>
      <w:proofErr w:type="spellStart"/>
      <w:r w:rsidRPr="000B68F0">
        <w:rPr>
          <w:sz w:val="28"/>
          <w:szCs w:val="28"/>
        </w:rPr>
        <w:t>Осылай</w:t>
      </w:r>
      <w:proofErr w:type="spellEnd"/>
      <w:r w:rsidRPr="000B68F0">
        <w:rPr>
          <w:sz w:val="28"/>
          <w:szCs w:val="28"/>
        </w:rPr>
        <w:t xml:space="preserve"> анықталған пункттердің жиынтығын геодезиялық </w:t>
      </w:r>
      <w:proofErr w:type="spellStart"/>
      <w:r w:rsidRPr="000B68F0">
        <w:rPr>
          <w:sz w:val="28"/>
          <w:szCs w:val="28"/>
        </w:rPr>
        <w:t>тіректі</w:t>
      </w:r>
      <w:proofErr w:type="gramStart"/>
      <w:r w:rsidRPr="000B68F0">
        <w:rPr>
          <w:sz w:val="28"/>
          <w:szCs w:val="28"/>
        </w:rPr>
        <w:t>к</w:t>
      </w:r>
      <w:proofErr w:type="spellEnd"/>
      <w:proofErr w:type="gramEnd"/>
      <w:r w:rsidRPr="000B68F0">
        <w:rPr>
          <w:sz w:val="28"/>
          <w:szCs w:val="28"/>
        </w:rPr>
        <w:t xml:space="preserve"> тор </w:t>
      </w:r>
      <w:proofErr w:type="spellStart"/>
      <w:r w:rsidRPr="000B68F0">
        <w:rPr>
          <w:sz w:val="28"/>
          <w:szCs w:val="28"/>
        </w:rPr>
        <w:t>деп</w:t>
      </w:r>
      <w:proofErr w:type="spellEnd"/>
      <w:r w:rsidRPr="000B68F0">
        <w:rPr>
          <w:sz w:val="28"/>
          <w:szCs w:val="28"/>
        </w:rPr>
        <w:t xml:space="preserve"> </w:t>
      </w:r>
      <w:proofErr w:type="spellStart"/>
      <w:r w:rsidRPr="000B68F0">
        <w:rPr>
          <w:sz w:val="28"/>
          <w:szCs w:val="28"/>
        </w:rPr>
        <w:t>атайды</w:t>
      </w:r>
      <w:proofErr w:type="spellEnd"/>
      <w:r w:rsidRPr="000B68F0">
        <w:rPr>
          <w:sz w:val="28"/>
          <w:szCs w:val="28"/>
        </w:rPr>
        <w:t xml:space="preserve">. </w:t>
      </w:r>
      <w:proofErr w:type="spellStart"/>
      <w:r w:rsidRPr="000B68F0">
        <w:rPr>
          <w:sz w:val="28"/>
          <w:szCs w:val="28"/>
        </w:rPr>
        <w:t>Олар</w:t>
      </w:r>
      <w:proofErr w:type="spellEnd"/>
      <w:r w:rsidRPr="000B68F0">
        <w:rPr>
          <w:sz w:val="28"/>
          <w:szCs w:val="28"/>
        </w:rPr>
        <w:t xml:space="preserve"> </w:t>
      </w:r>
      <w:proofErr w:type="spellStart"/>
      <w:proofErr w:type="gramStart"/>
      <w:r w:rsidRPr="000B68F0">
        <w:rPr>
          <w:sz w:val="28"/>
          <w:szCs w:val="28"/>
        </w:rPr>
        <w:t>жиілету</w:t>
      </w:r>
      <w:proofErr w:type="spellEnd"/>
      <w:proofErr w:type="gramEnd"/>
      <w:r w:rsidRPr="000B68F0">
        <w:rPr>
          <w:sz w:val="28"/>
          <w:szCs w:val="28"/>
        </w:rPr>
        <w:t xml:space="preserve"> </w:t>
      </w:r>
      <w:proofErr w:type="spellStart"/>
      <w:r w:rsidRPr="000B68F0">
        <w:rPr>
          <w:sz w:val="28"/>
          <w:szCs w:val="28"/>
        </w:rPr>
        <w:t>немесе</w:t>
      </w:r>
      <w:proofErr w:type="spellEnd"/>
      <w:r w:rsidRPr="000B68F0">
        <w:rPr>
          <w:sz w:val="28"/>
          <w:szCs w:val="28"/>
        </w:rPr>
        <w:t xml:space="preserve"> толықтыру торларының </w:t>
      </w:r>
      <w:proofErr w:type="spellStart"/>
      <w:r w:rsidRPr="000B68F0">
        <w:rPr>
          <w:sz w:val="28"/>
          <w:szCs w:val="28"/>
        </w:rPr>
        <w:t>негізі</w:t>
      </w:r>
      <w:proofErr w:type="spellEnd"/>
      <w:r w:rsidRPr="000B68F0">
        <w:rPr>
          <w:sz w:val="28"/>
          <w:szCs w:val="28"/>
        </w:rPr>
        <w:t xml:space="preserve"> </w:t>
      </w:r>
      <w:proofErr w:type="spellStart"/>
      <w:r w:rsidRPr="000B68F0">
        <w:rPr>
          <w:sz w:val="28"/>
          <w:szCs w:val="28"/>
        </w:rPr>
        <w:t>болып</w:t>
      </w:r>
      <w:proofErr w:type="spellEnd"/>
      <w:r w:rsidRPr="000B68F0">
        <w:rPr>
          <w:sz w:val="28"/>
          <w:szCs w:val="28"/>
        </w:rPr>
        <w:t xml:space="preserve"> </w:t>
      </w:r>
      <w:proofErr w:type="spellStart"/>
      <w:r w:rsidRPr="000B68F0">
        <w:rPr>
          <w:sz w:val="28"/>
          <w:szCs w:val="28"/>
        </w:rPr>
        <w:t>табылады</w:t>
      </w:r>
      <w:proofErr w:type="spellEnd"/>
      <w:r w:rsidRPr="000B68F0">
        <w:rPr>
          <w:sz w:val="28"/>
          <w:szCs w:val="28"/>
        </w:rPr>
        <w:t>. </w:t>
      </w:r>
      <w:hyperlink r:id="rId4" w:tooltip="Пункт" w:history="1">
        <w:r w:rsidRPr="000B68F0">
          <w:rPr>
            <w:rStyle w:val="a4"/>
            <w:color w:val="auto"/>
            <w:sz w:val="28"/>
            <w:szCs w:val="28"/>
            <w:u w:val="none"/>
          </w:rPr>
          <w:t>Пункттердің</w:t>
        </w:r>
      </w:hyperlink>
      <w:r w:rsidRPr="000B68F0">
        <w:rPr>
          <w:sz w:val="28"/>
          <w:szCs w:val="28"/>
        </w:rPr>
        <w:t xml:space="preserve"> абсолюттік </w:t>
      </w:r>
      <w:proofErr w:type="spellStart"/>
      <w:r w:rsidRPr="000B68F0">
        <w:rPr>
          <w:sz w:val="28"/>
          <w:szCs w:val="28"/>
        </w:rPr>
        <w:t>биіктіктерін</w:t>
      </w:r>
      <w:proofErr w:type="spellEnd"/>
      <w:r w:rsidRPr="000B68F0">
        <w:rPr>
          <w:sz w:val="28"/>
          <w:szCs w:val="28"/>
        </w:rPr>
        <w:t xml:space="preserve"> геодезиялық </w:t>
      </w:r>
      <w:proofErr w:type="spellStart"/>
      <w:r w:rsidRPr="000B68F0">
        <w:rPr>
          <w:sz w:val="28"/>
          <w:szCs w:val="28"/>
        </w:rPr>
        <w:t>биіктіктерді</w:t>
      </w:r>
      <w:proofErr w:type="spellEnd"/>
      <w:r w:rsidRPr="000B68F0">
        <w:rPr>
          <w:sz w:val="28"/>
          <w:szCs w:val="28"/>
        </w:rPr>
        <w:t xml:space="preserve"> теңіз деңгейі </w:t>
      </w:r>
      <w:proofErr w:type="spellStart"/>
      <w:r w:rsidRPr="000B68F0">
        <w:rPr>
          <w:sz w:val="28"/>
          <w:szCs w:val="28"/>
        </w:rPr>
        <w:t>бетіне</w:t>
      </w:r>
      <w:proofErr w:type="spellEnd"/>
      <w:r w:rsidRPr="000B68F0">
        <w:rPr>
          <w:sz w:val="28"/>
          <w:szCs w:val="28"/>
        </w:rPr>
        <w:t xml:space="preserve"> қатысты анықтайды. Геодезиялық тор пункттерінің пландық координаттары </w:t>
      </w:r>
      <w:hyperlink r:id="rId5" w:tooltip="Триангуляция" w:history="1">
        <w:r w:rsidRPr="000B68F0">
          <w:rPr>
            <w:rStyle w:val="a4"/>
            <w:color w:val="auto"/>
            <w:sz w:val="28"/>
            <w:szCs w:val="28"/>
            <w:u w:val="none"/>
          </w:rPr>
          <w:t>триангуляция</w:t>
        </w:r>
      </w:hyperlink>
      <w:r w:rsidRPr="000B68F0">
        <w:rPr>
          <w:sz w:val="28"/>
          <w:szCs w:val="28"/>
        </w:rPr>
        <w:t>, </w:t>
      </w:r>
      <w:hyperlink r:id="rId6" w:tooltip="Трилатерация" w:history="1">
        <w:r w:rsidRPr="000B68F0">
          <w:rPr>
            <w:rStyle w:val="a4"/>
            <w:color w:val="auto"/>
            <w:sz w:val="28"/>
            <w:szCs w:val="28"/>
            <w:u w:val="none"/>
          </w:rPr>
          <w:t>трилатерация</w:t>
        </w:r>
      </w:hyperlink>
      <w:r w:rsidRPr="000B68F0">
        <w:rPr>
          <w:sz w:val="28"/>
          <w:szCs w:val="28"/>
        </w:rPr>
        <w:t> және </w:t>
      </w:r>
      <w:hyperlink r:id="rId7" w:tooltip="Полигонометрия" w:history="1">
        <w:r w:rsidRPr="000B68F0">
          <w:rPr>
            <w:rStyle w:val="a4"/>
            <w:color w:val="auto"/>
            <w:sz w:val="28"/>
            <w:szCs w:val="28"/>
            <w:u w:val="none"/>
          </w:rPr>
          <w:t>полигонометрия</w:t>
        </w:r>
      </w:hyperlink>
      <w:r w:rsidRPr="000B68F0">
        <w:rPr>
          <w:sz w:val="28"/>
          <w:szCs w:val="28"/>
        </w:rPr>
        <w:t xml:space="preserve"> әдістерімен анықталса, </w:t>
      </w:r>
      <w:proofErr w:type="spellStart"/>
      <w:r w:rsidRPr="000B68F0">
        <w:rPr>
          <w:sz w:val="28"/>
          <w:szCs w:val="28"/>
        </w:rPr>
        <w:t>биікті</w:t>
      </w:r>
      <w:proofErr w:type="gramStart"/>
      <w:r w:rsidRPr="000B68F0">
        <w:rPr>
          <w:sz w:val="28"/>
          <w:szCs w:val="28"/>
        </w:rPr>
        <w:t>кт</w:t>
      </w:r>
      <w:proofErr w:type="gramEnd"/>
      <w:r w:rsidRPr="000B68F0">
        <w:rPr>
          <w:sz w:val="28"/>
          <w:szCs w:val="28"/>
        </w:rPr>
        <w:t>ік</w:t>
      </w:r>
      <w:proofErr w:type="spellEnd"/>
      <w:r w:rsidRPr="000B68F0">
        <w:rPr>
          <w:sz w:val="28"/>
          <w:szCs w:val="28"/>
        </w:rPr>
        <w:t xml:space="preserve"> жағдайы — геометриялық, тригонометриялық </w:t>
      </w:r>
      <w:proofErr w:type="spellStart"/>
      <w:r w:rsidRPr="000B68F0">
        <w:rPr>
          <w:sz w:val="28"/>
          <w:szCs w:val="28"/>
        </w:rPr>
        <w:t>нивелирлеу</w:t>
      </w:r>
      <w:proofErr w:type="spellEnd"/>
      <w:r w:rsidRPr="000B68F0">
        <w:rPr>
          <w:sz w:val="28"/>
          <w:szCs w:val="28"/>
        </w:rPr>
        <w:t xml:space="preserve"> әдістерімен анықталады. Геодезиялық тор топографиялық түсі</w:t>
      </w:r>
      <w:proofErr w:type="gramStart"/>
      <w:r w:rsidRPr="000B68F0">
        <w:rPr>
          <w:sz w:val="28"/>
          <w:szCs w:val="28"/>
        </w:rPr>
        <w:t>р</w:t>
      </w:r>
      <w:proofErr w:type="gramEnd"/>
      <w:r w:rsidRPr="000B68F0">
        <w:rPr>
          <w:sz w:val="28"/>
          <w:szCs w:val="28"/>
        </w:rPr>
        <w:t>імдер, </w:t>
      </w:r>
      <w:hyperlink r:id="rId8" w:tooltip="Карталар" w:history="1">
        <w:r w:rsidRPr="000B68F0">
          <w:rPr>
            <w:rStyle w:val="a4"/>
            <w:color w:val="auto"/>
            <w:sz w:val="28"/>
            <w:szCs w:val="28"/>
            <w:u w:val="none"/>
          </w:rPr>
          <w:t>карталар</w:t>
        </w:r>
      </w:hyperlink>
      <w:r w:rsidRPr="000B68F0">
        <w:rPr>
          <w:sz w:val="28"/>
          <w:szCs w:val="28"/>
        </w:rPr>
        <w:t xml:space="preserve"> жасау, сондай-ақ </w:t>
      </w:r>
      <w:proofErr w:type="spellStart"/>
      <w:r w:rsidRPr="000B68F0">
        <w:rPr>
          <w:sz w:val="28"/>
          <w:szCs w:val="28"/>
        </w:rPr>
        <w:t>барлау</w:t>
      </w:r>
      <w:proofErr w:type="spellEnd"/>
      <w:r w:rsidRPr="000B68F0">
        <w:rPr>
          <w:sz w:val="28"/>
          <w:szCs w:val="28"/>
        </w:rPr>
        <w:t xml:space="preserve">, құрылыс салу жұмыстарының </w:t>
      </w:r>
      <w:proofErr w:type="spellStart"/>
      <w:r w:rsidRPr="000B68F0">
        <w:rPr>
          <w:sz w:val="28"/>
          <w:szCs w:val="28"/>
        </w:rPr>
        <w:t>жергілікті</w:t>
      </w:r>
      <w:proofErr w:type="spellEnd"/>
      <w:r w:rsidRPr="000B68F0">
        <w:rPr>
          <w:sz w:val="28"/>
          <w:szCs w:val="28"/>
        </w:rPr>
        <w:t xml:space="preserve"> </w:t>
      </w:r>
      <w:proofErr w:type="spellStart"/>
      <w:r w:rsidRPr="000B68F0">
        <w:rPr>
          <w:sz w:val="28"/>
          <w:szCs w:val="28"/>
        </w:rPr>
        <w:t>жердегі</w:t>
      </w:r>
      <w:proofErr w:type="spellEnd"/>
      <w:r w:rsidRPr="000B68F0">
        <w:rPr>
          <w:sz w:val="28"/>
          <w:szCs w:val="28"/>
        </w:rPr>
        <w:t xml:space="preserve"> дәлдік </w:t>
      </w:r>
      <w:proofErr w:type="spellStart"/>
      <w:r w:rsidRPr="000B68F0">
        <w:rPr>
          <w:sz w:val="28"/>
          <w:szCs w:val="28"/>
        </w:rPr>
        <w:t>есептеулеріне</w:t>
      </w:r>
      <w:proofErr w:type="spellEnd"/>
      <w:r w:rsidRPr="000B68F0">
        <w:rPr>
          <w:sz w:val="28"/>
          <w:szCs w:val="28"/>
        </w:rPr>
        <w:t xml:space="preserve"> </w:t>
      </w:r>
      <w:proofErr w:type="spellStart"/>
      <w:r w:rsidRPr="000B68F0">
        <w:rPr>
          <w:sz w:val="28"/>
          <w:szCs w:val="28"/>
        </w:rPr>
        <w:t>байланысты</w:t>
      </w:r>
      <w:proofErr w:type="spellEnd"/>
      <w:r w:rsidRPr="000B68F0">
        <w:rPr>
          <w:sz w:val="28"/>
          <w:szCs w:val="28"/>
        </w:rPr>
        <w:t xml:space="preserve"> пландық және </w:t>
      </w:r>
      <w:proofErr w:type="spellStart"/>
      <w:r w:rsidRPr="000B68F0">
        <w:rPr>
          <w:sz w:val="28"/>
          <w:szCs w:val="28"/>
        </w:rPr>
        <w:t>биіктік</w:t>
      </w:r>
      <w:proofErr w:type="spellEnd"/>
      <w:r w:rsidRPr="000B68F0">
        <w:rPr>
          <w:sz w:val="28"/>
          <w:szCs w:val="28"/>
        </w:rPr>
        <w:t xml:space="preserve"> </w:t>
      </w:r>
      <w:proofErr w:type="spellStart"/>
      <w:r w:rsidRPr="000B68F0">
        <w:rPr>
          <w:sz w:val="28"/>
          <w:szCs w:val="28"/>
        </w:rPr>
        <w:t>негіз</w:t>
      </w:r>
      <w:proofErr w:type="spellEnd"/>
      <w:r w:rsidRPr="000B68F0">
        <w:rPr>
          <w:sz w:val="28"/>
          <w:szCs w:val="28"/>
        </w:rPr>
        <w:t xml:space="preserve"> </w:t>
      </w:r>
      <w:proofErr w:type="spellStart"/>
      <w:r w:rsidRPr="000B68F0">
        <w:rPr>
          <w:sz w:val="28"/>
          <w:szCs w:val="28"/>
        </w:rPr>
        <w:t>ретінде</w:t>
      </w:r>
      <w:proofErr w:type="spellEnd"/>
      <w:r w:rsidRPr="000B68F0">
        <w:rPr>
          <w:sz w:val="28"/>
          <w:szCs w:val="28"/>
        </w:rPr>
        <w:t xml:space="preserve"> қолданылады</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Мемлекеттік геодезиялық торлар - (МГТ) – «Жалпыдан жекеге қарай» принципі бойынша және класстарға бөлініп құрылады. Торлар жоғарғы кластан төменгі кластарға қарай құрылады. Ірі және дәлдігі жоғары торлардан ұсақ, дәлдігі төмендеу торларға қарай дамиды. Жоғарғы класс пунктары бір – бірінен біршама километрден ондаған километрлік ара қашықтықта орналасады. Мемлекеттерге осындай дамыған торлар біріңғай жүйедегі координаталардың жоғарғы дәлдікті торларын береді. Пландық геодезиялық торларда тік бұрышты координаталар жүйесі Х, У координаталары және биіктік Н біріңғай жүйеде Балтық теңізі деңгейінен анықталады. Барлық геодезиялық торлар:</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1.Мемлекеттік геодезиялық торлар;</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2.Жиілендіру геодезиялық торлар;</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3.Түсіріс геодезиялық торлар болып бөленеді.</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МГТ – 1,2,3,4 кластарға бөлінеді және триангуляция, трилатерация,</w:t>
      </w:r>
      <w:r w:rsidRPr="000B68F0">
        <w:rPr>
          <w:rFonts w:ascii="Times New Roman" w:eastAsia="Times New Roman" w:hAnsi="Times New Roman" w:cs="Times New Roman"/>
          <w:sz w:val="28"/>
          <w:szCs w:val="28"/>
          <w:lang w:eastAsia="ru-RU"/>
        </w:rPr>
        <w:t> полигонометрия әдістерімен құрылады.</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b/>
          <w:bCs/>
          <w:sz w:val="28"/>
          <w:szCs w:val="28"/>
          <w:lang w:val="kk-KZ" w:eastAsia="ru-RU"/>
        </w:rPr>
        <w:t>Триангуляция әдісі</w:t>
      </w:r>
      <w:r w:rsidRPr="000B68F0">
        <w:rPr>
          <w:rFonts w:ascii="Times New Roman" w:eastAsia="Times New Roman" w:hAnsi="Times New Roman" w:cs="Times New Roman"/>
          <w:sz w:val="28"/>
          <w:szCs w:val="28"/>
          <w:lang w:val="kk-KZ" w:eastAsia="ru-RU"/>
        </w:rPr>
        <w:t> үшбұрыштар жүйесінен тұрады. Үшбұрыштың барлық бұрыштары мен бір базистік сызығының ұзындығы өлшенеді (1.1-кесте).</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Полигонометрия әдісі (1.2-кесте). </w:t>
      </w:r>
      <w:r w:rsidRPr="000B68F0">
        <w:rPr>
          <w:rFonts w:ascii="Times New Roman" w:eastAsia="Times New Roman" w:hAnsi="Times New Roman" w:cs="Times New Roman"/>
          <w:sz w:val="28"/>
          <w:szCs w:val="28"/>
          <w:lang w:val="sr-Cyrl-CS" w:eastAsia="ru-RU"/>
        </w:rPr>
        <w:t>Торларды құру қиынға соққан кезде және экономикалық пайдалы емес болған жағдайда жергілікті жердің жағдайында (таулар, өзендер, т.б.) қолданылады.</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sr-Cyrl-CS" w:eastAsia="ru-RU"/>
        </w:rPr>
        <w:t>Бұл әдісте созылмалы сынық  сызықтармен құрылған жүрістер салынады. Горизонтальды бұрыштар мен ұзындықтар өлшенеді.</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sr-Cyrl-CS" w:eastAsia="ru-RU"/>
        </w:rPr>
        <w:t> </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1.1-кесте- Триангуляция (трилатерация)</w:t>
      </w:r>
    </w:p>
    <w:tbl>
      <w:tblPr>
        <w:tblW w:w="0" w:type="auto"/>
        <w:tblCellMar>
          <w:left w:w="0" w:type="dxa"/>
          <w:right w:w="0" w:type="dxa"/>
        </w:tblCellMar>
        <w:tblLook w:val="04A0"/>
      </w:tblPr>
      <w:tblGrid>
        <w:gridCol w:w="2060"/>
        <w:gridCol w:w="1257"/>
        <w:gridCol w:w="1473"/>
        <w:gridCol w:w="1987"/>
        <w:gridCol w:w="1397"/>
        <w:gridCol w:w="1397"/>
      </w:tblGrid>
      <w:tr w:rsidR="000B68F0" w:rsidRPr="000B68F0" w:rsidTr="000B68F0">
        <w:tc>
          <w:tcPr>
            <w:tcW w:w="26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  </w:t>
            </w:r>
            <w:r w:rsidRPr="000B68F0">
              <w:rPr>
                <w:rFonts w:ascii="Times New Roman" w:eastAsia="Times New Roman" w:hAnsi="Times New Roman" w:cs="Times New Roman"/>
                <w:sz w:val="28"/>
                <w:szCs w:val="28"/>
                <w:lang w:val="kk-KZ" w:eastAsia="ru-RU"/>
              </w:rPr>
              <w:t>Триангуляциялық тордың (разряд)</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класы</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Жақтар ұзындығы, км</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Бұрыштарды</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өлшеу қателігі</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Үшбұрыштардағы</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бұрыштық келіспеушілік</w:t>
            </w:r>
          </w:p>
        </w:tc>
        <w:tc>
          <w:tcPr>
            <w:tcW w:w="240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Базисті жақты өлшегендегі</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қатысты қателігі</w:t>
            </w:r>
          </w:p>
        </w:tc>
        <w:tc>
          <w:tcPr>
            <w:tcW w:w="34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Базисті өлшегендегі</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қатысты қателік</w:t>
            </w:r>
          </w:p>
        </w:tc>
      </w:tr>
      <w:tr w:rsidR="000B68F0" w:rsidRPr="000B68F0" w:rsidTr="000B68F0">
        <w:tc>
          <w:tcPr>
            <w:tcW w:w="15868"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lastRenderedPageBreak/>
              <w:t>Мемлекеттік геодезиялық торлар  (полигонометриялық торлары)</w:t>
            </w:r>
          </w:p>
        </w:tc>
      </w:tr>
      <w:tr w:rsidR="000B68F0" w:rsidRPr="000B68F0" w:rsidTr="000B68F0">
        <w:tc>
          <w:tcPr>
            <w:tcW w:w="26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1 </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20 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0’’,7</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3’’ </w:t>
            </w:r>
          </w:p>
        </w:tc>
        <w:tc>
          <w:tcPr>
            <w:tcW w:w="2409"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1:400000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1:1000000</w:t>
            </w:r>
          </w:p>
        </w:tc>
      </w:tr>
      <w:tr w:rsidR="000B68F0" w:rsidRPr="000B68F0" w:rsidTr="000B68F0">
        <w:tc>
          <w:tcPr>
            <w:tcW w:w="26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8-20</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1’’,0  </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4’’</w:t>
            </w:r>
          </w:p>
        </w:tc>
        <w:tc>
          <w:tcPr>
            <w:tcW w:w="2409"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1:300000</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1:1000000</w:t>
            </w:r>
          </w:p>
        </w:tc>
      </w:tr>
      <w:tr w:rsidR="000B68F0" w:rsidRPr="000B68F0" w:rsidTr="000B68F0">
        <w:tc>
          <w:tcPr>
            <w:tcW w:w="26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3</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5-8</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1’’,5   </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6’’</w:t>
            </w:r>
          </w:p>
        </w:tc>
        <w:tc>
          <w:tcPr>
            <w:tcW w:w="2409"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1:200000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r>
      <w:tr w:rsidR="000B68F0" w:rsidRPr="000B68F0" w:rsidTr="000B68F0">
        <w:tc>
          <w:tcPr>
            <w:tcW w:w="26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4</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5</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2’’,0   </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8’’ </w:t>
            </w:r>
          </w:p>
        </w:tc>
        <w:tc>
          <w:tcPr>
            <w:tcW w:w="2409"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1:200000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r>
      <w:tr w:rsidR="000B68F0" w:rsidRPr="000B68F0" w:rsidTr="000B68F0">
        <w:tc>
          <w:tcPr>
            <w:tcW w:w="15868"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Жергілікті маңызы бар геодезиялық торлар  (аналитикалық тор)</w:t>
            </w:r>
          </w:p>
        </w:tc>
      </w:tr>
      <w:tr w:rsidR="000B68F0" w:rsidRPr="000B68F0" w:rsidTr="000B68F0">
        <w:tc>
          <w:tcPr>
            <w:tcW w:w="26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1</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5</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5’’ </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20’’</w:t>
            </w:r>
          </w:p>
        </w:tc>
        <w:tc>
          <w:tcPr>
            <w:tcW w:w="2409"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1:50000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r>
      <w:tr w:rsidR="000B68F0" w:rsidRPr="000B68F0" w:rsidTr="000B68F0">
        <w:tc>
          <w:tcPr>
            <w:tcW w:w="268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2</w:t>
            </w: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3</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10’’</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40’’</w:t>
            </w:r>
          </w:p>
        </w:tc>
        <w:tc>
          <w:tcPr>
            <w:tcW w:w="2409"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1:20000</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r>
    </w:tbl>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sr-Cyrl-CS" w:eastAsia="ru-RU"/>
        </w:rPr>
        <w:t> </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b/>
          <w:bCs/>
          <w:sz w:val="28"/>
          <w:szCs w:val="28"/>
          <w:lang w:val="sr-Cyrl-CS" w:eastAsia="ru-RU"/>
        </w:rPr>
        <w:t>Трилатерация </w:t>
      </w:r>
      <w:r w:rsidRPr="000B68F0">
        <w:rPr>
          <w:rFonts w:ascii="Times New Roman" w:eastAsia="Times New Roman" w:hAnsi="Times New Roman" w:cs="Times New Roman"/>
          <w:b/>
          <w:bCs/>
          <w:sz w:val="28"/>
          <w:szCs w:val="28"/>
          <w:lang w:val="kk-KZ" w:eastAsia="ru-RU"/>
        </w:rPr>
        <w:t>  әдісі. </w:t>
      </w:r>
      <w:r w:rsidRPr="000B68F0">
        <w:rPr>
          <w:rFonts w:ascii="Times New Roman" w:eastAsia="Times New Roman" w:hAnsi="Times New Roman" w:cs="Times New Roman"/>
          <w:sz w:val="28"/>
          <w:szCs w:val="28"/>
          <w:lang w:val="kk-KZ" w:eastAsia="ru-RU"/>
        </w:rPr>
        <w:t>Үшбұрыштар жүйесінде барлық жақтардың ара – қашықтықтары өлшенеді. Ал, горизонтальды бұрыштар  ара – қашықтықтар көмегімен есептеледі. Пункттардың координаталары дирекциондық бұрыштар арқылы есептеледі.</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Трилатерация жақтарының ұзындығы радио және светодальномерлермен  өлшенеді. 3 класста қатысты қателік 1/ 100000, 4 класс үшін  1/ 40000.</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 Триангуляция және полигонометрия әдістері үлгісі МГТ – 1,2,3,4 кластарға бөлінеді. 1 класс триангуляция торы меридиандар мен параллельдер бойынша дұрыс үшбұрыштар арқылы құрылып, периметрі 800 – 1000 км болады. Бұлардың қиылысқан соңында базистік арақашықтықтар өлшеніп, базис жағының соңында Лаплас пунктары анықталады, яғни пункттардың ендігі мен ML өлшенге базис бойлығы және бағыттың азимуты Т</w:t>
      </w:r>
      <w:r w:rsidRPr="000B68F0">
        <w:rPr>
          <w:rFonts w:ascii="Times New Roman" w:eastAsia="Times New Roman" w:hAnsi="Times New Roman" w:cs="Times New Roman"/>
          <w:sz w:val="28"/>
          <w:szCs w:val="28"/>
          <w:vertAlign w:val="subscript"/>
          <w:lang w:val="kk-KZ" w:eastAsia="ru-RU"/>
        </w:rPr>
        <w:t>1</w:t>
      </w:r>
      <w:r w:rsidRPr="000B68F0">
        <w:rPr>
          <w:rFonts w:ascii="Times New Roman" w:eastAsia="Times New Roman" w:hAnsi="Times New Roman" w:cs="Times New Roman"/>
          <w:sz w:val="28"/>
          <w:szCs w:val="28"/>
          <w:lang w:val="kk-KZ" w:eastAsia="ru-RU"/>
        </w:rPr>
        <w:t> – радиожарықөлшегішімен анықталады.  </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 </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1.2-кесте- Полигонометрия</w:t>
      </w:r>
    </w:p>
    <w:tbl>
      <w:tblPr>
        <w:tblW w:w="5000" w:type="pct"/>
        <w:tblCellMar>
          <w:left w:w="0" w:type="dxa"/>
          <w:right w:w="0" w:type="dxa"/>
        </w:tblCellMar>
        <w:tblLook w:val="04A0"/>
      </w:tblPr>
      <w:tblGrid>
        <w:gridCol w:w="1803"/>
        <w:gridCol w:w="1391"/>
        <w:gridCol w:w="1034"/>
        <w:gridCol w:w="740"/>
        <w:gridCol w:w="602"/>
        <w:gridCol w:w="1403"/>
        <w:gridCol w:w="1523"/>
        <w:gridCol w:w="1075"/>
      </w:tblGrid>
      <w:tr w:rsidR="000B68F0" w:rsidRPr="000B68F0" w:rsidTr="000B68F0">
        <w:tc>
          <w:tcPr>
            <w:tcW w:w="115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 </w:t>
            </w:r>
            <w:r w:rsidRPr="000B68F0">
              <w:rPr>
                <w:rFonts w:ascii="Times New Roman" w:eastAsia="Times New Roman" w:hAnsi="Times New Roman" w:cs="Times New Roman"/>
                <w:sz w:val="28"/>
                <w:szCs w:val="28"/>
                <w:lang w:val="kk-KZ" w:eastAsia="ru-RU"/>
              </w:rPr>
              <w:t>Полигонометрия класы (разряд)</w:t>
            </w:r>
          </w:p>
        </w:tc>
        <w:tc>
          <w:tcPr>
            <w:tcW w:w="110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Жүрістің шекті ұзындығы, км</w:t>
            </w:r>
          </w:p>
        </w:tc>
        <w:tc>
          <w:tcPr>
            <w:tcW w:w="85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Жақтар ұзындығы, км</w:t>
            </w:r>
          </w:p>
        </w:tc>
        <w:tc>
          <w:tcPr>
            <w:tcW w:w="60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Бұрыштарды</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өлшеу</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қателігі</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 </w:t>
            </w:r>
          </w:p>
        </w:tc>
        <w:tc>
          <w:tcPr>
            <w:tcW w:w="70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Полигон жүрісінің бұрыштық келіспеушілігі</w:t>
            </w:r>
          </w:p>
        </w:tc>
        <w:tc>
          <w:tcPr>
            <w:tcW w:w="4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Полигон жүрісінің қатысты қателігі</w:t>
            </w:r>
          </w:p>
        </w:tc>
      </w:tr>
      <w:tr w:rsidR="000B68F0" w:rsidRPr="000B68F0" w:rsidTr="000B68F0">
        <w:tc>
          <w:tcPr>
            <w:tcW w:w="0" w:type="auto"/>
            <w:vMerge/>
            <w:tcBorders>
              <w:top w:val="single" w:sz="8" w:space="0" w:color="auto"/>
              <w:left w:val="single" w:sz="8" w:space="0" w:color="auto"/>
              <w:bottom w:val="single" w:sz="8" w:space="0" w:color="auto"/>
              <w:right w:val="single" w:sz="8" w:space="0" w:color="auto"/>
            </w:tcBorders>
            <w:vAlign w:val="cente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Қатайтылған пункттер аралығы</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Түйінді</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нүктелер</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аралығы</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 </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Ең үлкен</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 </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Ең кіші</w:t>
            </w:r>
          </w:p>
        </w:tc>
        <w:tc>
          <w:tcPr>
            <w:tcW w:w="0" w:type="auto"/>
            <w:vMerge/>
            <w:tcBorders>
              <w:top w:val="single" w:sz="8" w:space="0" w:color="auto"/>
              <w:left w:val="nil"/>
              <w:bottom w:val="single" w:sz="8" w:space="0" w:color="auto"/>
              <w:right w:val="single" w:sz="8" w:space="0" w:color="auto"/>
            </w:tcBorders>
            <w:vAlign w:val="cente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p>
        </w:tc>
        <w:tc>
          <w:tcPr>
            <w:tcW w:w="0" w:type="auto"/>
            <w:vMerge/>
            <w:tcBorders>
              <w:top w:val="single" w:sz="8" w:space="0" w:color="auto"/>
              <w:left w:val="nil"/>
              <w:bottom w:val="single" w:sz="8" w:space="0" w:color="auto"/>
              <w:right w:val="single" w:sz="8" w:space="0" w:color="auto"/>
            </w:tcBorders>
            <w:vAlign w:val="cente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p>
        </w:tc>
        <w:tc>
          <w:tcPr>
            <w:tcW w:w="0" w:type="auto"/>
            <w:vMerge/>
            <w:tcBorders>
              <w:top w:val="single" w:sz="8" w:space="0" w:color="auto"/>
              <w:left w:val="nil"/>
              <w:bottom w:val="single" w:sz="8" w:space="0" w:color="auto"/>
              <w:right w:val="single" w:sz="8" w:space="0" w:color="auto"/>
            </w:tcBorders>
            <w:vAlign w:val="cente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p>
        </w:tc>
      </w:tr>
      <w:tr w:rsidR="000B68F0" w:rsidRPr="000B68F0" w:rsidTr="000B68F0">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Мемлекеттік геодезиялық торлар  (полигонометрия торлары)</w:t>
            </w:r>
          </w:p>
        </w:tc>
      </w:tr>
      <w:tr w:rsidR="000B68F0" w:rsidRPr="000B68F0" w:rsidTr="000B68F0">
        <w:tc>
          <w:tcPr>
            <w:tcW w:w="11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1</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200</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25</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0’’,4</w:t>
            </w:r>
          </w:p>
        </w:tc>
        <w:tc>
          <w:tcPr>
            <w:tcW w:w="7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w:t>
            </w:r>
          </w:p>
        </w:tc>
      </w:tr>
      <w:tr w:rsidR="000B68F0" w:rsidRPr="000B68F0" w:rsidTr="000B68F0">
        <w:tc>
          <w:tcPr>
            <w:tcW w:w="11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2</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 </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 </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1’’,0</w:t>
            </w:r>
          </w:p>
        </w:tc>
        <w:tc>
          <w:tcPr>
            <w:tcW w:w="7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w:t>
            </w:r>
          </w:p>
        </w:tc>
      </w:tr>
      <w:tr w:rsidR="000B68F0" w:rsidRPr="000B68F0" w:rsidTr="000B68F0">
        <w:tc>
          <w:tcPr>
            <w:tcW w:w="11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3</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 </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 </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3</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1’’,5</w:t>
            </w:r>
          </w:p>
        </w:tc>
        <w:tc>
          <w:tcPr>
            <w:tcW w:w="7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w:t>
            </w:r>
          </w:p>
        </w:tc>
      </w:tr>
      <w:tr w:rsidR="000B68F0" w:rsidRPr="000B68F0" w:rsidTr="000B68F0">
        <w:tc>
          <w:tcPr>
            <w:tcW w:w="11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4</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10</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7</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2</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en-US" w:eastAsia="ru-RU"/>
              </w:rPr>
              <w:t>0</w:t>
            </w:r>
            <w:r w:rsidRPr="000B68F0">
              <w:rPr>
                <w:rFonts w:ascii="Times New Roman" w:eastAsia="Times New Roman" w:hAnsi="Times New Roman" w:cs="Times New Roman"/>
                <w:sz w:val="28"/>
                <w:szCs w:val="28"/>
                <w:lang w:eastAsia="ru-RU"/>
              </w:rPr>
              <w:t>,</w:t>
            </w:r>
            <w:r w:rsidRPr="000B68F0">
              <w:rPr>
                <w:rFonts w:ascii="Times New Roman" w:eastAsia="Times New Roman" w:hAnsi="Times New Roman" w:cs="Times New Roman"/>
                <w:sz w:val="28"/>
                <w:szCs w:val="28"/>
                <w:lang w:val="en-US" w:eastAsia="ru-RU"/>
              </w:rPr>
              <w:t>25</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2’’,0</w:t>
            </w:r>
          </w:p>
        </w:tc>
        <w:tc>
          <w:tcPr>
            <w:tcW w:w="7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5</w:t>
            </w:r>
            <w:r w:rsidRPr="000B68F0">
              <w:rPr>
                <w:rFonts w:ascii="Times New Roman" w:eastAsia="Times New Roman" w:hAnsi="Times New Roman" w:cs="Times New Roman"/>
                <w:noProof/>
                <w:sz w:val="28"/>
                <w:szCs w:val="28"/>
                <w:vertAlign w:val="subscript"/>
                <w:lang w:eastAsia="ru-RU"/>
              </w:rPr>
              <w:drawing>
                <wp:inline distT="0" distB="0" distL="0" distR="0">
                  <wp:extent cx="244475" cy="201930"/>
                  <wp:effectExtent l="19050" t="0" r="3175" b="0"/>
                  <wp:docPr id="1" name="Рисунок 1"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1.gif"/>
                          <pic:cNvPicPr>
                            <a:picLocks noChangeAspect="1" noChangeArrowheads="1"/>
                          </pic:cNvPicPr>
                        </pic:nvPicPr>
                        <pic:blipFill>
                          <a:blip r:embed="rId9" cstate="print"/>
                          <a:srcRect/>
                          <a:stretch>
                            <a:fillRect/>
                          </a:stretch>
                        </pic:blipFill>
                        <pic:spPr bwMode="auto">
                          <a:xfrm>
                            <a:off x="0" y="0"/>
                            <a:ext cx="244475" cy="201930"/>
                          </a:xfrm>
                          <a:prstGeom prst="rect">
                            <a:avLst/>
                          </a:prstGeom>
                          <a:noFill/>
                          <a:ln w="9525">
                            <a:noFill/>
                            <a:miter lim="800000"/>
                            <a:headEnd/>
                            <a:tailEnd/>
                          </a:ln>
                        </pic:spPr>
                      </pic:pic>
                    </a:graphicData>
                  </a:graphic>
                </wp:inline>
              </w:drawing>
            </w:r>
            <w:r w:rsidRPr="000B68F0">
              <w:rPr>
                <w:rFonts w:ascii="Times New Roman" w:eastAsia="Times New Roman" w:hAnsi="Times New Roman" w:cs="Times New Roman"/>
                <w:sz w:val="28"/>
                <w:szCs w:val="28"/>
                <w:lang w:val="kk-KZ"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1:25000</w:t>
            </w:r>
          </w:p>
        </w:tc>
      </w:tr>
      <w:tr w:rsidR="000B68F0" w:rsidRPr="000B68F0" w:rsidTr="000B68F0">
        <w:tc>
          <w:tcPr>
            <w:tcW w:w="5000" w:type="pct"/>
            <w:gridSpan w:val="8"/>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lastRenderedPageBreak/>
              <w:t>Жергілікті маңызы бар геодезиялық торлар</w:t>
            </w:r>
          </w:p>
        </w:tc>
      </w:tr>
      <w:tr w:rsidR="000B68F0" w:rsidRPr="000B68F0" w:rsidTr="000B68F0">
        <w:tc>
          <w:tcPr>
            <w:tcW w:w="11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1</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7</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3</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0,8</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0,12</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5’’</w:t>
            </w:r>
          </w:p>
        </w:tc>
        <w:tc>
          <w:tcPr>
            <w:tcW w:w="7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10</w:t>
            </w:r>
            <w:r w:rsidRPr="000B68F0">
              <w:rPr>
                <w:rFonts w:ascii="Times New Roman" w:eastAsia="Times New Roman" w:hAnsi="Times New Roman" w:cs="Times New Roman"/>
                <w:noProof/>
                <w:sz w:val="28"/>
                <w:szCs w:val="28"/>
                <w:vertAlign w:val="subscript"/>
                <w:lang w:eastAsia="ru-RU"/>
              </w:rPr>
              <w:drawing>
                <wp:inline distT="0" distB="0" distL="0" distR="0">
                  <wp:extent cx="308610" cy="266065"/>
                  <wp:effectExtent l="0" t="0" r="0" b="0"/>
                  <wp:docPr id="2" name="Рисунок 2"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1.gif"/>
                          <pic:cNvPicPr>
                            <a:picLocks noChangeAspect="1" noChangeArrowheads="1"/>
                          </pic:cNvPicPr>
                        </pic:nvPicPr>
                        <pic:blipFill>
                          <a:blip r:embed="rId9" cstate="print"/>
                          <a:srcRect/>
                          <a:stretch>
                            <a:fillRect/>
                          </a:stretch>
                        </pic:blipFill>
                        <pic:spPr bwMode="auto">
                          <a:xfrm>
                            <a:off x="0" y="0"/>
                            <a:ext cx="308610" cy="266065"/>
                          </a:xfrm>
                          <a:prstGeom prst="rect">
                            <a:avLst/>
                          </a:prstGeom>
                          <a:noFill/>
                          <a:ln w="9525">
                            <a:noFill/>
                            <a:miter lim="800000"/>
                            <a:headEnd/>
                            <a:tailEnd/>
                          </a:ln>
                        </pic:spPr>
                      </pic:pic>
                    </a:graphicData>
                  </a:graphic>
                </wp:inline>
              </w:drawing>
            </w:r>
            <w:r w:rsidRPr="000B68F0">
              <w:rPr>
                <w:rFonts w:ascii="Times New Roman" w:eastAsia="Times New Roman" w:hAnsi="Times New Roman" w:cs="Times New Roman"/>
                <w:sz w:val="28"/>
                <w:szCs w:val="28"/>
                <w:lang w:val="kk-KZ"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1:10000</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 </w:t>
            </w:r>
          </w:p>
        </w:tc>
      </w:tr>
      <w:tr w:rsidR="000B68F0" w:rsidRPr="000B68F0" w:rsidTr="000B68F0">
        <w:tc>
          <w:tcPr>
            <w:tcW w:w="11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2</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5</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2</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0,35</w:t>
            </w:r>
          </w:p>
        </w:tc>
        <w:tc>
          <w:tcPr>
            <w:tcW w:w="4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0,08</w:t>
            </w:r>
          </w:p>
        </w:tc>
        <w:tc>
          <w:tcPr>
            <w:tcW w:w="6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10’’</w:t>
            </w:r>
          </w:p>
        </w:tc>
        <w:tc>
          <w:tcPr>
            <w:tcW w:w="70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20</w:t>
            </w:r>
            <w:r w:rsidRPr="000B68F0">
              <w:rPr>
                <w:rFonts w:ascii="Times New Roman" w:eastAsia="Times New Roman" w:hAnsi="Times New Roman" w:cs="Times New Roman"/>
                <w:noProof/>
                <w:sz w:val="28"/>
                <w:szCs w:val="28"/>
                <w:vertAlign w:val="subscript"/>
                <w:lang w:eastAsia="ru-RU"/>
              </w:rPr>
              <w:drawing>
                <wp:inline distT="0" distB="0" distL="0" distR="0">
                  <wp:extent cx="308610" cy="266065"/>
                  <wp:effectExtent l="0" t="0" r="0" b="0"/>
                  <wp:docPr id="3" name="Рисунок 3"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1.gif"/>
                          <pic:cNvPicPr>
                            <a:picLocks noChangeAspect="1" noChangeArrowheads="1"/>
                          </pic:cNvPicPr>
                        </pic:nvPicPr>
                        <pic:blipFill>
                          <a:blip r:embed="rId9" cstate="print"/>
                          <a:srcRect/>
                          <a:stretch>
                            <a:fillRect/>
                          </a:stretch>
                        </pic:blipFill>
                        <pic:spPr bwMode="auto">
                          <a:xfrm>
                            <a:off x="0" y="0"/>
                            <a:ext cx="308610" cy="266065"/>
                          </a:xfrm>
                          <a:prstGeom prst="rect">
                            <a:avLst/>
                          </a:prstGeom>
                          <a:noFill/>
                          <a:ln w="9525">
                            <a:noFill/>
                            <a:miter lim="800000"/>
                            <a:headEnd/>
                            <a:tailEnd/>
                          </a:ln>
                        </pic:spPr>
                      </pic:pic>
                    </a:graphicData>
                  </a:graphic>
                </wp:inline>
              </w:drawing>
            </w:r>
            <w:r w:rsidRPr="000B68F0">
              <w:rPr>
                <w:rFonts w:ascii="Times New Roman" w:eastAsia="Times New Roman" w:hAnsi="Times New Roman" w:cs="Times New Roman"/>
                <w:sz w:val="28"/>
                <w:szCs w:val="28"/>
                <w:lang w:val="kk-KZ" w:eastAsia="ru-RU"/>
              </w:rPr>
              <w:t>’’</w:t>
            </w:r>
          </w:p>
        </w:tc>
        <w:tc>
          <w:tcPr>
            <w:tcW w:w="450" w:type="pct"/>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1:5000</w:t>
            </w:r>
          </w:p>
        </w:tc>
      </w:tr>
    </w:tbl>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 </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 класс триангуляциясы 1-класс триангуляция полигонын толтыра, үшбұрыштар торларын құрады.</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3, 4 класс триангуляция пунктары МГТ әрі қарай жиілендіру торлары болып табылады. Ірі масштабты топографиялық түсірістер негізі болып табылады.</w:t>
      </w:r>
    </w:p>
    <w:p w:rsidR="000B68F0" w:rsidRPr="000B68F0" w:rsidRDefault="000B68F0" w:rsidP="000B68F0">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0B68F0">
        <w:rPr>
          <w:rFonts w:ascii="Times New Roman" w:eastAsia="Times New Roman" w:hAnsi="Times New Roman" w:cs="Times New Roman"/>
          <w:sz w:val="28"/>
          <w:szCs w:val="28"/>
          <w:lang w:val="kk-KZ" w:eastAsia="ru-RU"/>
        </w:rPr>
        <w:t>Биіктік мемлекеттік торлар І,ІІ,ІІ, ІV кластарға бөлінеді (1.3-кесте).</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r w:rsidRPr="000B68F0">
        <w:rPr>
          <w:rFonts w:ascii="Times New Roman" w:eastAsia="Times New Roman" w:hAnsi="Times New Roman" w:cs="Times New Roman"/>
          <w:sz w:val="28"/>
          <w:szCs w:val="28"/>
          <w:lang w:val="sr-Cyrl-CS" w:eastAsia="ru-RU"/>
        </w:rPr>
        <w:t>МНТ пункт биіктігі геометриялық нивелирлеу әдісімен анықталады. МНТ І,ІІ,ІІІ,</w:t>
      </w:r>
      <w:r w:rsidRPr="000B68F0">
        <w:rPr>
          <w:rFonts w:ascii="Times New Roman" w:eastAsia="Times New Roman" w:hAnsi="Times New Roman" w:cs="Times New Roman"/>
          <w:sz w:val="28"/>
          <w:szCs w:val="28"/>
          <w:lang w:val="en-US" w:eastAsia="ru-RU"/>
        </w:rPr>
        <w:t>IV</w:t>
      </w:r>
      <w:r w:rsidRPr="000B68F0">
        <w:rPr>
          <w:rFonts w:ascii="Times New Roman" w:eastAsia="Times New Roman" w:hAnsi="Times New Roman" w:cs="Times New Roman"/>
          <w:sz w:val="28"/>
          <w:szCs w:val="28"/>
          <w:lang w:val="sr-Cyrl-CS" w:eastAsia="ru-RU"/>
        </w:rPr>
        <w:t> класқа бөлінеді.  І,ІІ класты невилирлік торлар биіктік негізінің басы болып табылады. Балтық теңізіне қатысты мемлекеттік территорияда биіктік белгісі анықталады.  І,ІІ класты пунктар ғылыми міндеттерді шешеді:</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r w:rsidRPr="000B68F0">
        <w:rPr>
          <w:rFonts w:ascii="Times New Roman" w:eastAsia="Times New Roman" w:hAnsi="Times New Roman" w:cs="Times New Roman"/>
          <w:sz w:val="28"/>
          <w:szCs w:val="28"/>
          <w:lang w:val="sr-Cyrl-CS" w:eastAsia="ru-RU"/>
        </w:rPr>
        <w:t>1.Жер қыртысының вертикальды жылжуын зерттейді;</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r w:rsidRPr="000B68F0">
        <w:rPr>
          <w:rFonts w:ascii="Times New Roman" w:eastAsia="Times New Roman" w:hAnsi="Times New Roman" w:cs="Times New Roman"/>
          <w:sz w:val="28"/>
          <w:szCs w:val="28"/>
          <w:lang w:val="sr-Cyrl-CS" w:eastAsia="ru-RU"/>
        </w:rPr>
        <w:t>2.Теңіз, мұхит деңгейлерін т,б, анықтайды.</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r w:rsidRPr="000B68F0">
        <w:rPr>
          <w:rFonts w:ascii="Times New Roman" w:eastAsia="Times New Roman" w:hAnsi="Times New Roman" w:cs="Times New Roman"/>
          <w:sz w:val="28"/>
          <w:szCs w:val="28"/>
          <w:lang w:val="sr-Cyrl-CS" w:eastAsia="ru-RU"/>
        </w:rPr>
        <w:t> </w:t>
      </w:r>
    </w:p>
    <w:p w:rsidR="000B68F0" w:rsidRPr="000B68F0" w:rsidRDefault="000B68F0" w:rsidP="000B68F0">
      <w:pPr>
        <w:spacing w:after="0" w:line="240" w:lineRule="auto"/>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1.3-кесте- Геометриялық нивелирлеу</w:t>
      </w:r>
    </w:p>
    <w:tbl>
      <w:tblPr>
        <w:tblW w:w="0" w:type="auto"/>
        <w:tblCellMar>
          <w:left w:w="0" w:type="dxa"/>
          <w:right w:w="0" w:type="dxa"/>
        </w:tblCellMar>
        <w:tblLook w:val="04A0"/>
      </w:tblPr>
      <w:tblGrid>
        <w:gridCol w:w="2985"/>
        <w:gridCol w:w="3904"/>
        <w:gridCol w:w="2682"/>
      </w:tblGrid>
      <w:tr w:rsidR="000B68F0" w:rsidRPr="000B68F0" w:rsidTr="000B68F0">
        <w:tc>
          <w:tcPr>
            <w:tcW w:w="467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eastAsia="ru-RU"/>
              </w:rPr>
              <w:t> </w:t>
            </w:r>
            <w:r w:rsidRPr="000B68F0">
              <w:rPr>
                <w:rFonts w:ascii="Times New Roman" w:eastAsia="Times New Roman" w:hAnsi="Times New Roman" w:cs="Times New Roman"/>
                <w:sz w:val="28"/>
                <w:szCs w:val="28"/>
                <w:lang w:val="kk-KZ" w:eastAsia="ru-RU"/>
              </w:rPr>
              <w:t>Нивелирлеу класы</w:t>
            </w:r>
          </w:p>
        </w:tc>
        <w:tc>
          <w:tcPr>
            <w:tcW w:w="68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Полигонның шекті периметрі, км</w:t>
            </w:r>
          </w:p>
        </w:tc>
        <w:tc>
          <w:tcPr>
            <w:tcW w:w="453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Жүрістің рұқсат етілген қателігі, км</w:t>
            </w:r>
          </w:p>
        </w:tc>
      </w:tr>
      <w:tr w:rsidR="000B68F0" w:rsidRPr="000B68F0" w:rsidTr="000B68F0">
        <w:tc>
          <w:tcPr>
            <w:tcW w:w="1601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Мемлекеттік геодезиялық торлары (нивелирлеу торлары)</w:t>
            </w:r>
          </w:p>
        </w:tc>
      </w:tr>
      <w:tr w:rsidR="000B68F0" w:rsidRPr="000B68F0" w:rsidTr="000B68F0">
        <w:tc>
          <w:tcPr>
            <w:tcW w:w="467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2</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3</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Үлкен дәлдікпен орындалады</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500-600</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150</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50</w:t>
            </w:r>
          </w:p>
        </w:tc>
        <w:tc>
          <w:tcPr>
            <w:tcW w:w="4536" w:type="dxa"/>
            <w:tcBorders>
              <w:top w:val="nil"/>
              <w:left w:val="nil"/>
              <w:bottom w:val="single" w:sz="8" w:space="0" w:color="auto"/>
              <w:right w:val="single" w:sz="8" w:space="0" w:color="auto"/>
            </w:tcBorders>
            <w:tcMar>
              <w:top w:w="0" w:type="dxa"/>
              <w:left w:w="108" w:type="dxa"/>
              <w:bottom w:w="0" w:type="dxa"/>
              <w:right w:w="108" w:type="dxa"/>
            </w:tcMar>
            <w:hideMark/>
          </w:tcPr>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kk-KZ" w:eastAsia="ru-RU"/>
              </w:rPr>
              <w:t> </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noProof/>
                <w:sz w:val="28"/>
                <w:szCs w:val="28"/>
                <w:vertAlign w:val="subscript"/>
                <w:lang w:eastAsia="ru-RU"/>
              </w:rPr>
              <w:drawing>
                <wp:inline distT="0" distB="0" distL="0" distR="0">
                  <wp:extent cx="329565" cy="223520"/>
                  <wp:effectExtent l="19050" t="0" r="0" b="0"/>
                  <wp:docPr id="4" name="Рисунок 4"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2.gif"/>
                          <pic:cNvPicPr>
                            <a:picLocks noChangeAspect="1" noChangeArrowheads="1"/>
                          </pic:cNvPicPr>
                        </pic:nvPicPr>
                        <pic:blipFill>
                          <a:blip r:embed="rId10" cstate="print"/>
                          <a:srcRect/>
                          <a:stretch>
                            <a:fillRect/>
                          </a:stretch>
                        </pic:blipFill>
                        <pic:spPr bwMode="auto">
                          <a:xfrm>
                            <a:off x="0" y="0"/>
                            <a:ext cx="329565" cy="223520"/>
                          </a:xfrm>
                          <a:prstGeom prst="rect">
                            <a:avLst/>
                          </a:prstGeom>
                          <a:noFill/>
                          <a:ln w="9525">
                            <a:noFill/>
                            <a:miter lim="800000"/>
                            <a:headEnd/>
                            <a:tailEnd/>
                          </a:ln>
                        </pic:spPr>
                      </pic:pic>
                    </a:graphicData>
                  </a:graphic>
                </wp:inline>
              </w:drawing>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noProof/>
                <w:sz w:val="28"/>
                <w:szCs w:val="28"/>
                <w:vertAlign w:val="subscript"/>
                <w:lang w:eastAsia="ru-RU"/>
              </w:rPr>
              <w:drawing>
                <wp:inline distT="0" distB="0" distL="0" distR="0">
                  <wp:extent cx="403860" cy="223520"/>
                  <wp:effectExtent l="0" t="0" r="0" b="0"/>
                  <wp:docPr id="5" name="Рисунок 5"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3.gif"/>
                          <pic:cNvPicPr>
                            <a:picLocks noChangeAspect="1" noChangeArrowheads="1"/>
                          </pic:cNvPicPr>
                        </pic:nvPicPr>
                        <pic:blipFill>
                          <a:blip r:embed="rId11" cstate="print"/>
                          <a:srcRect/>
                          <a:stretch>
                            <a:fillRect/>
                          </a:stretch>
                        </pic:blipFill>
                        <pic:spPr bwMode="auto">
                          <a:xfrm>
                            <a:off x="0" y="0"/>
                            <a:ext cx="403860" cy="223520"/>
                          </a:xfrm>
                          <a:prstGeom prst="rect">
                            <a:avLst/>
                          </a:prstGeom>
                          <a:noFill/>
                          <a:ln w="9525">
                            <a:noFill/>
                            <a:miter lim="800000"/>
                            <a:headEnd/>
                            <a:tailEnd/>
                          </a:ln>
                        </pic:spPr>
                      </pic:pic>
                    </a:graphicData>
                  </a:graphic>
                </wp:inline>
              </w:drawing>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noProof/>
                <w:sz w:val="28"/>
                <w:szCs w:val="28"/>
                <w:vertAlign w:val="subscript"/>
                <w:lang w:eastAsia="ru-RU"/>
              </w:rPr>
              <w:drawing>
                <wp:inline distT="0" distB="0" distL="0" distR="0">
                  <wp:extent cx="414655" cy="223520"/>
                  <wp:effectExtent l="19050" t="0" r="4445" b="0"/>
                  <wp:docPr id="6" name="Рисунок 6"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Описание: Описание: Описание: Описание: Описание: Описание: Описание: Описание: Описание: Описание: Описание: Описание: Описание: Описание: Описание: D:\Семинар 30.01.2015\Заготовки на казахском\Теория\lek1.files\image004.gif"/>
                          <pic:cNvPicPr>
                            <a:picLocks noChangeAspect="1" noChangeArrowheads="1"/>
                          </pic:cNvPicPr>
                        </pic:nvPicPr>
                        <pic:blipFill>
                          <a:blip r:embed="rId12" cstate="print"/>
                          <a:srcRect/>
                          <a:stretch>
                            <a:fillRect/>
                          </a:stretch>
                        </pic:blipFill>
                        <pic:spPr bwMode="auto">
                          <a:xfrm>
                            <a:off x="0" y="0"/>
                            <a:ext cx="414655" cy="223520"/>
                          </a:xfrm>
                          <a:prstGeom prst="rect">
                            <a:avLst/>
                          </a:prstGeom>
                          <a:noFill/>
                          <a:ln w="9525">
                            <a:noFill/>
                            <a:miter lim="800000"/>
                            <a:headEnd/>
                            <a:tailEnd/>
                          </a:ln>
                        </pic:spPr>
                      </pic:pic>
                    </a:graphicData>
                  </a:graphic>
                </wp:inline>
              </w:drawing>
            </w:r>
          </w:p>
        </w:tc>
      </w:tr>
    </w:tbl>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sr-Cyrl-CS" w:eastAsia="ru-RU"/>
        </w:rPr>
        <w:t> </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r w:rsidRPr="000B68F0">
        <w:rPr>
          <w:rFonts w:ascii="Times New Roman" w:eastAsia="Times New Roman" w:hAnsi="Times New Roman" w:cs="Times New Roman"/>
          <w:sz w:val="28"/>
          <w:szCs w:val="28"/>
          <w:lang w:val="sr-Cyrl-CS" w:eastAsia="ru-RU"/>
        </w:rPr>
        <w:t>І,ІІ кл. нивелирлік сызықтар топырағы жақсы қарапайым трассалар бойынша салынады. І,ІІ кл. нивелирлік сызықтар алдын – ала жобаланған бағыт бойынша салынып, әр 25 жыл сайын тексеру мақсатында қайталап нивелирленіп отырады. І кл. нивелирлік жүріс тұйықталған полигонды болып, периметрі 2000 км. тең болады. Нивелирлеу жұмысы жоғарғы дәлдікті аспаптармен бағдарлаудың қазіргі кездегі әдістерімен орындалады. 1  км – ге  </w:t>
      </w:r>
      <w:r w:rsidRPr="000B68F0">
        <w:rPr>
          <w:rFonts w:ascii="Times New Roman" w:eastAsia="Times New Roman" w:hAnsi="Times New Roman" w:cs="Times New Roman"/>
          <w:sz w:val="28"/>
          <w:szCs w:val="28"/>
          <w:lang w:val="en-US" w:eastAsia="ru-RU"/>
        </w:rPr>
        <w:t>m </w:t>
      </w:r>
      <w:r w:rsidRPr="000B68F0">
        <w:rPr>
          <w:rFonts w:ascii="Times New Roman" w:eastAsia="Times New Roman" w:hAnsi="Times New Roman" w:cs="Times New Roman"/>
          <w:sz w:val="28"/>
          <w:szCs w:val="28"/>
          <w:vertAlign w:val="subscript"/>
          <w:lang w:val="en-US" w:eastAsia="ru-RU"/>
        </w:rPr>
        <w:t>n</w:t>
      </w:r>
      <w:r w:rsidRPr="000B68F0">
        <w:rPr>
          <w:rFonts w:ascii="Times New Roman" w:eastAsia="Times New Roman" w:hAnsi="Times New Roman" w:cs="Times New Roman"/>
          <w:sz w:val="28"/>
          <w:szCs w:val="28"/>
          <w:lang w:val="sr-Cyrl-CS" w:eastAsia="ru-RU"/>
        </w:rPr>
        <w:t> = ± 0,5 мм.</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r w:rsidRPr="000B68F0">
        <w:rPr>
          <w:rFonts w:ascii="Times New Roman" w:eastAsia="Times New Roman" w:hAnsi="Times New Roman" w:cs="Times New Roman"/>
          <w:sz w:val="28"/>
          <w:szCs w:val="28"/>
          <w:lang w:val="sr-Cyrl-CS" w:eastAsia="ru-RU"/>
        </w:rPr>
        <w:t>ІІ кл нивелирлік жүрістер І кл пунктеріне тіркесіп, полигоны 500-600 км. Орташа квадраттық қатесі 1 км-ге </w:t>
      </w:r>
      <w:r w:rsidRPr="000B68F0">
        <w:rPr>
          <w:rFonts w:ascii="Times New Roman" w:eastAsia="Times New Roman" w:hAnsi="Times New Roman" w:cs="Times New Roman"/>
          <w:sz w:val="28"/>
          <w:szCs w:val="28"/>
          <w:lang w:val="en-US" w:eastAsia="ru-RU"/>
        </w:rPr>
        <w:t>m </w:t>
      </w:r>
      <w:r w:rsidRPr="000B68F0">
        <w:rPr>
          <w:rFonts w:ascii="Times New Roman" w:eastAsia="Times New Roman" w:hAnsi="Times New Roman" w:cs="Times New Roman"/>
          <w:sz w:val="28"/>
          <w:szCs w:val="28"/>
          <w:vertAlign w:val="subscript"/>
          <w:lang w:val="en-US" w:eastAsia="ru-RU"/>
        </w:rPr>
        <w:t>n</w:t>
      </w:r>
      <w:r w:rsidRPr="000B68F0">
        <w:rPr>
          <w:rFonts w:ascii="Times New Roman" w:eastAsia="Times New Roman" w:hAnsi="Times New Roman" w:cs="Times New Roman"/>
          <w:sz w:val="28"/>
          <w:szCs w:val="28"/>
          <w:lang w:val="sr-Cyrl-CS" w:eastAsia="ru-RU"/>
        </w:rPr>
        <w:t> = ± 1 мм.</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eastAsia="ru-RU"/>
        </w:rPr>
      </w:pPr>
      <w:r w:rsidRPr="000B68F0">
        <w:rPr>
          <w:rFonts w:ascii="Times New Roman" w:eastAsia="Times New Roman" w:hAnsi="Times New Roman" w:cs="Times New Roman"/>
          <w:sz w:val="28"/>
          <w:szCs w:val="28"/>
          <w:lang w:val="sr-Cyrl-CS" w:eastAsia="ru-RU"/>
        </w:rPr>
        <w:t>І,ІІ кл полигон ішінде ІІІ кл нивелирлік тор салынады. Полигон периметрі 150-200 км 1 км-ге </w:t>
      </w:r>
      <w:r w:rsidRPr="000B68F0">
        <w:rPr>
          <w:rFonts w:ascii="Times New Roman" w:eastAsia="Times New Roman" w:hAnsi="Times New Roman" w:cs="Times New Roman"/>
          <w:sz w:val="28"/>
          <w:szCs w:val="28"/>
          <w:lang w:val="en-US" w:eastAsia="ru-RU"/>
        </w:rPr>
        <w:t>m </w:t>
      </w:r>
      <w:r w:rsidRPr="000B68F0">
        <w:rPr>
          <w:rFonts w:ascii="Times New Roman" w:eastAsia="Times New Roman" w:hAnsi="Times New Roman" w:cs="Times New Roman"/>
          <w:sz w:val="28"/>
          <w:szCs w:val="28"/>
          <w:vertAlign w:val="subscript"/>
          <w:lang w:val="en-US" w:eastAsia="ru-RU"/>
        </w:rPr>
        <w:t>n</w:t>
      </w:r>
      <w:r w:rsidRPr="000B68F0">
        <w:rPr>
          <w:rFonts w:ascii="Times New Roman" w:eastAsia="Times New Roman" w:hAnsi="Times New Roman" w:cs="Times New Roman"/>
          <w:sz w:val="28"/>
          <w:szCs w:val="28"/>
          <w:lang w:val="en-US" w:eastAsia="ru-RU"/>
        </w:rPr>
        <w:t> </w:t>
      </w:r>
      <w:r w:rsidRPr="000B68F0">
        <w:rPr>
          <w:rFonts w:ascii="Times New Roman" w:eastAsia="Times New Roman" w:hAnsi="Times New Roman" w:cs="Times New Roman"/>
          <w:sz w:val="28"/>
          <w:szCs w:val="28"/>
          <w:lang w:eastAsia="ru-RU"/>
        </w:rPr>
        <w:t>= ± 3 мм.</w:t>
      </w:r>
    </w:p>
    <w:p w:rsidR="000B68F0" w:rsidRPr="000B68F0" w:rsidRDefault="000B68F0" w:rsidP="000B68F0">
      <w:pPr>
        <w:spacing w:after="0" w:line="240" w:lineRule="auto"/>
        <w:ind w:firstLine="709"/>
        <w:jc w:val="both"/>
        <w:rPr>
          <w:rFonts w:ascii="Times New Roman" w:eastAsia="Times New Roman" w:hAnsi="Times New Roman" w:cs="Times New Roman"/>
          <w:sz w:val="28"/>
          <w:szCs w:val="28"/>
          <w:lang w:val="sr-Cyrl-CS" w:eastAsia="ru-RU"/>
        </w:rPr>
      </w:pPr>
      <w:proofErr w:type="gramStart"/>
      <w:r w:rsidRPr="000B68F0">
        <w:rPr>
          <w:rFonts w:ascii="Times New Roman" w:eastAsia="Times New Roman" w:hAnsi="Times New Roman" w:cs="Times New Roman"/>
          <w:sz w:val="28"/>
          <w:szCs w:val="28"/>
          <w:lang w:val="en-US" w:eastAsia="ru-RU"/>
        </w:rPr>
        <w:lastRenderedPageBreak/>
        <w:t>IV</w:t>
      </w:r>
      <w:r w:rsidRPr="000B68F0">
        <w:rPr>
          <w:rFonts w:ascii="Times New Roman" w:eastAsia="Times New Roman" w:hAnsi="Times New Roman" w:cs="Times New Roman"/>
          <w:sz w:val="28"/>
          <w:szCs w:val="28"/>
          <w:lang w:val="sr-Cyrl-CS" w:eastAsia="ru-RU"/>
        </w:rPr>
        <w:t> кл нивелирлік жүріс топографиялық түсірістердің биіктік негізі болады.</w:t>
      </w:r>
      <w:proofErr w:type="gramEnd"/>
      <w:r w:rsidRPr="000B68F0">
        <w:rPr>
          <w:rFonts w:ascii="Times New Roman" w:eastAsia="Times New Roman" w:hAnsi="Times New Roman" w:cs="Times New Roman"/>
          <w:sz w:val="28"/>
          <w:szCs w:val="28"/>
          <w:lang w:val="sr-Cyrl-CS" w:eastAsia="ru-RU"/>
        </w:rPr>
        <w:t xml:space="preserve"> Оларды масштабқа және жергілікті жердің жағдайына байланысты тығыздандыра жүргізеді. 1 км </w:t>
      </w:r>
      <w:r w:rsidRPr="000B68F0">
        <w:rPr>
          <w:rFonts w:ascii="Times New Roman" w:eastAsia="Times New Roman" w:hAnsi="Times New Roman" w:cs="Times New Roman"/>
          <w:sz w:val="28"/>
          <w:szCs w:val="28"/>
          <w:lang w:val="en-US" w:eastAsia="ru-RU"/>
        </w:rPr>
        <w:t>m </w:t>
      </w:r>
      <w:r w:rsidRPr="000B68F0">
        <w:rPr>
          <w:rFonts w:ascii="Times New Roman" w:eastAsia="Times New Roman" w:hAnsi="Times New Roman" w:cs="Times New Roman"/>
          <w:sz w:val="28"/>
          <w:szCs w:val="28"/>
          <w:vertAlign w:val="subscript"/>
          <w:lang w:val="en-US" w:eastAsia="ru-RU"/>
        </w:rPr>
        <w:t>n</w:t>
      </w:r>
      <w:r w:rsidRPr="000B68F0">
        <w:rPr>
          <w:rFonts w:ascii="Times New Roman" w:eastAsia="Times New Roman" w:hAnsi="Times New Roman" w:cs="Times New Roman"/>
          <w:sz w:val="28"/>
          <w:szCs w:val="28"/>
          <w:lang w:val="sr-Cyrl-CS" w:eastAsia="ru-RU"/>
        </w:rPr>
        <w:t> = ± 10 мм.</w:t>
      </w:r>
    </w:p>
    <w:p w:rsidR="006C5077" w:rsidRPr="000B68F0" w:rsidRDefault="006C5077" w:rsidP="000B68F0">
      <w:pPr>
        <w:spacing w:after="0" w:line="240" w:lineRule="auto"/>
        <w:ind w:firstLine="709"/>
        <w:jc w:val="both"/>
        <w:rPr>
          <w:rFonts w:ascii="Times New Roman" w:hAnsi="Times New Roman" w:cs="Times New Roman"/>
          <w:sz w:val="28"/>
          <w:szCs w:val="28"/>
          <w:lang w:val="sr-Cyrl-CS"/>
        </w:rPr>
      </w:pPr>
    </w:p>
    <w:sectPr w:rsidR="006C5077" w:rsidRPr="000B68F0" w:rsidSect="006C50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A27B0"/>
    <w:rsid w:val="000629A1"/>
    <w:rsid w:val="000B68F0"/>
    <w:rsid w:val="006C5077"/>
    <w:rsid w:val="008E53B3"/>
    <w:rsid w:val="009271EC"/>
    <w:rsid w:val="00DA27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0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68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B68F0"/>
    <w:rPr>
      <w:color w:val="0000FF"/>
      <w:u w:val="single"/>
    </w:rPr>
  </w:style>
  <w:style w:type="paragraph" w:styleId="a5">
    <w:name w:val="Balloon Text"/>
    <w:basedOn w:val="a"/>
    <w:link w:val="a6"/>
    <w:uiPriority w:val="99"/>
    <w:semiHidden/>
    <w:unhideWhenUsed/>
    <w:rsid w:val="000B68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B68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3376694">
      <w:bodyDiv w:val="1"/>
      <w:marLeft w:val="0"/>
      <w:marRight w:val="0"/>
      <w:marTop w:val="0"/>
      <w:marBottom w:val="0"/>
      <w:divBdr>
        <w:top w:val="none" w:sz="0" w:space="0" w:color="auto"/>
        <w:left w:val="none" w:sz="0" w:space="0" w:color="auto"/>
        <w:bottom w:val="none" w:sz="0" w:space="0" w:color="auto"/>
        <w:right w:val="none" w:sz="0" w:space="0" w:color="auto"/>
      </w:divBdr>
    </w:div>
    <w:div w:id="1353917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A%D0%B0%D1%80%D1%82%D0%B0%D0%BB%D0%B0%D1%8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k.wikipedia.org/wiki/%D0%9F%D0%BE%D0%BB%D0%B8%D0%B3%D0%BE%D0%BD%D0%BE%D0%BC%D0%B5%D1%82%D1%80%D0%B8%D1%8F" TargetMode="External"/><Relationship Id="rId12"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k.wikipedia.org/wiki/%D0%A2%D1%80%D0%B8%D0%BB%D0%B0%D1%82%D0%B5%D1%80%D0%B0%D1%86%D0%B8%D1%8F" TargetMode="External"/><Relationship Id="rId11" Type="http://schemas.openxmlformats.org/officeDocument/2006/relationships/image" Target="media/image3.gif"/><Relationship Id="rId5" Type="http://schemas.openxmlformats.org/officeDocument/2006/relationships/hyperlink" Target="https://kk.wikipedia.org/wiki/%D0%A2%D1%80%D0%B8%D0%B0%D0%BD%D0%B3%D1%83%D0%BB%D1%8F%D1%86%D0%B8%D1%8F" TargetMode="External"/><Relationship Id="rId10" Type="http://schemas.openxmlformats.org/officeDocument/2006/relationships/image" Target="media/image2.gif"/><Relationship Id="rId4" Type="http://schemas.openxmlformats.org/officeDocument/2006/relationships/hyperlink" Target="https://kk.wikipedia.org/wiki/%D0%9F%D1%83%D0%BD%D0%BA%D1%82" TargetMode="External"/><Relationship Id="rId9" Type="http://schemas.openxmlformats.org/officeDocument/2006/relationships/image" Target="media/image1.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997</Words>
  <Characters>5686</Characters>
  <Application>Microsoft Office Word</Application>
  <DocSecurity>0</DocSecurity>
  <Lines>47</Lines>
  <Paragraphs>13</Paragraphs>
  <ScaleCrop>false</ScaleCrop>
  <Company/>
  <LinksUpToDate>false</LinksUpToDate>
  <CharactersWithSpaces>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Erkebulan</dc:creator>
  <cp:keywords/>
  <dc:description/>
  <cp:lastModifiedBy>Erkebulan</cp:lastModifiedBy>
  <cp:revision>4</cp:revision>
  <dcterms:created xsi:type="dcterms:W3CDTF">2020-03-31T08:45:00Z</dcterms:created>
  <dcterms:modified xsi:type="dcterms:W3CDTF">2020-03-31T09:09:00Z</dcterms:modified>
</cp:coreProperties>
</file>